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Вінницький національний медичний університет ім. М.І.Пирогова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4"/>
          <w:szCs w:val="24"/>
          <w:u w:val="single"/>
        </w:rPr>
      </w:pPr>
      <w:r w:rsidDel="00000000" w:rsidR="00000000" w:rsidRPr="00000000">
        <w:rPr>
          <w:rtl w:val="0"/>
        </w:rPr>
      </w:r>
    </w:p>
    <w:tbl>
      <w:tblPr>
        <w:tblStyle w:val="Table1"/>
        <w:tblW w:w="9355.0" w:type="dxa"/>
        <w:jc w:val="left"/>
        <w:tblLayout w:type="fixed"/>
        <w:tblLook w:val="0400"/>
      </w:tblPr>
      <w:tblGrid>
        <w:gridCol w:w="4677"/>
        <w:gridCol w:w="4678"/>
        <w:tblGridChange w:id="0">
          <w:tblGrid>
            <w:gridCol w:w="4677"/>
            <w:gridCol w:w="4678"/>
          </w:tblGrid>
        </w:tblGridChange>
      </w:tblGrid>
      <w:tr>
        <w:trPr>
          <w:cantSplit w:val="0"/>
          <w:trHeight w:val="4530.107421874999" w:hRule="atLeast"/>
          <w:tblHeader w:val="0"/>
        </w:trPr>
        <w:tc>
          <w:tcPr>
            <w:shd w:fill="auto" w:val="clear"/>
          </w:tcPr>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“ЗАТВЕРДЖУЮ”</w:t>
            </w:r>
          </w:p>
          <w:p w:rsidR="00000000" w:rsidDel="00000000" w:rsidP="00000000" w:rsidRDefault="00000000" w:rsidRPr="00000000" w14:paraId="00000006">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Проректор ЗВО з науково-педагогічної </w:t>
            </w:r>
          </w:p>
          <w:p w:rsidR="00000000" w:rsidDel="00000000" w:rsidP="00000000" w:rsidRDefault="00000000" w:rsidRPr="00000000" w14:paraId="00000007">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і міжнародних зв’язків </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1313532" cy="543095"/>
                  <wp:effectExtent b="0" l="0" r="0" t="0"/>
                  <wp:docPr id="10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13532" cy="54309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Інна АНДРУШКО</w:t>
            </w:r>
          </w:p>
          <w:p w:rsidR="00000000" w:rsidDel="00000000" w:rsidP="00000000" w:rsidRDefault="00000000" w:rsidRPr="00000000" w14:paraId="0000000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line="276"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D">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ПОГОДЖЕНО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Завідувач кафедри хірургії №1                         з курсом урології</w:t>
            </w:r>
          </w:p>
          <w:p w:rsidR="00000000" w:rsidDel="00000000" w:rsidP="00000000" w:rsidRDefault="00000000" w:rsidRPr="00000000" w14:paraId="0000000F">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713" cy="495237"/>
                  <wp:effectExtent b="0" l="0" r="0" t="0"/>
                  <wp:docPr descr="C:\Users\user\Desktop\Підпис Шапринського.jpg" id="1032" name="image2.jpg"/>
                  <a:graphic>
                    <a:graphicData uri="http://schemas.openxmlformats.org/drawingml/2006/picture">
                      <pic:pic>
                        <pic:nvPicPr>
                          <pic:cNvPr descr="C:\Users\user\Desktop\Підпис Шапринського.jpg" id="0" name="image2.jpg"/>
                          <pic:cNvPicPr preferRelativeResize="0"/>
                        </pic:nvPicPr>
                        <pic:blipFill>
                          <a:blip r:embed="rId8"/>
                          <a:srcRect b="0" l="0" r="0" t="0"/>
                          <a:stretch>
                            <a:fillRect/>
                          </a:stretch>
                        </pic:blipFill>
                        <pic:spPr>
                          <a:xfrm>
                            <a:off x="0" y="0"/>
                            <a:ext cx="861713" cy="49523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проф. ЗВО В.О.Шапринський</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11">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00"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spacing w:after="200"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СИЛАБУС  </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навчальної дисципліни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«Урологія,сексологія та сексопатологія»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3"/>
        <w:gridCol w:w="5688"/>
        <w:tblGridChange w:id="0">
          <w:tblGrid>
            <w:gridCol w:w="3883"/>
            <w:gridCol w:w="5688"/>
          </w:tblGrid>
        </w:tblGridChange>
      </w:tblGrid>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Спеціальність</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7.12010004 «Медична психологія»</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Освітній рівень</w:t>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Магістр</w:t>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програма</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ОПП «Медична психологія», 202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Навчальний рік</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w:t>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урологія</w:t>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Лектор </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Доцент Барало І.В.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Контактна інформація </w:t>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вул.Пирогова, 45 (хірургічний центр 4 поверх)</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 адреса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urology@vnmu.edu.ua</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Тел..0972834352</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Укладач силабусу</w:t>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Доцент Барало І.В</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Статус та структурадисципліни</w:t>
      </w:r>
      <w:r w:rsidDel="00000000" w:rsidR="00000000" w:rsidRPr="00000000">
        <w:rPr>
          <w:rtl w:val="0"/>
        </w:rPr>
      </w:r>
    </w:p>
    <w:tbl>
      <w:tblPr>
        <w:tblStyle w:val="Table3"/>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6"/>
        <w:gridCol w:w="5685"/>
        <w:tblGridChange w:id="0">
          <w:tblGrid>
            <w:gridCol w:w="3886"/>
            <w:gridCol w:w="5685"/>
          </w:tblGrid>
        </w:tblGridChange>
      </w:tblGrid>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Статус дисципліни</w:t>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Обов’язкова</w:t>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 дисципліни в ОПП та місце дисципліни в ОПП</w:t>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складова циклу дисциплін загальної підготовки</w:t>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Курс/семестр</w:t>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курс (VII-VIII семестри)</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Обсяг дисципліни (загальна кількість годин/ кількість кредитів ЄКТС)</w:t>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кредит</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ЄКТС</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дисципліни</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- 10 год</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заняття - </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Проміжні контролі - 2 год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цілому: аудиторні заняття – </w:t>
            </w:r>
            <w:r w:rsidDel="00000000" w:rsidR="00000000" w:rsidRPr="00000000">
              <w:rPr>
                <w:rFonts w:ascii="Times New Roman" w:cs="Times New Roman" w:eastAsia="Times New Roman" w:hAnsi="Times New Roman"/>
                <w:sz w:val="24"/>
                <w:szCs w:val="24"/>
                <w:rtl w:val="0"/>
              </w:rPr>
              <w:t xml:space="preserve">66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самостійна поза аудиторна робота – </w:t>
            </w: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змістових модулів</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викладання</w:t>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українська</w:t>
            </w:r>
          </w:p>
        </w:tc>
      </w:tr>
      <w:tr>
        <w:trPr>
          <w:cantSplit w:val="0"/>
          <w:tblHeader w:val="0"/>
        </w:trPr>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навчання</w:t>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Очна (при впровадженні карантинних заходів- дистанційна очна)</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дисципліни</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Коротка анотація курсу, актуальність.</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200" w:before="0" w:line="240" w:lineRule="auto"/>
        <w:ind w:left="0"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Викладання навчальної дисципліни «Урологія,сексологія та сексопатологія» згідно ОПП 7.12010004 «Медична психологія» та робочого навчального плану ВНМУ ім. М.І. Пирогова для спеціальності 7.12010004 «Медична психологія» здійснюється на 4 курсі навчання. Програма дисципліни складена відповідно до порядку підготовки здобувачів другого (магістерського) рівня  освіти у вищих медичних навчальних закладах освіти України у відповідності до вимог кредитно-трансферної системи організації навчального процесу ECTS. Основним фокусом програми є отримання знань з обов’язкової дисципліни професійної підготовки «Урологія, сексологія та сексопатологія», вивчення якої необхідне для успішної професійної діяльності студента. Предметним напрямком програми є основні, найбільш поширені захворювання сечостатевої системи. Програма орієнтована на отримання знань етіології, патогенезу, класифікації, критеріїв діагностики, диференційної діагностики, принципів лікування та профілактики основних захворювань сечостатевої системи.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Передреквізити.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успішного засвоєння дисципліни студенту необхідні знання, отримані в процесі вивчення наступних дисциплін загальної підготовки: медичної біології та генетики, медичної та біологічної фізики, медичної хімії, біологічної та біоорганічної хімії, морфологічних дисциплін, нормальної та патологічної фізіології, пропедевтики внутрішніх та дитячих хвороб, фармакології,медичної психології.</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курсу та його значення для професійної діяльності.</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викладання навчальної дисципліни «Урологія,сексологія та сексопатологія» є формування здатності застосовувати набуті знання, уміння, навички для вирішення типових задач діяльності лікаря в галузі охорони здоров'я на відповідній посаді, сфера застосування яких передбачена визначеними переліками синдромів та симптомів захворювань сечостатевої системи, що потребують особливої тактики ведення пацієнтів, невідкладних станів, лабораторних та інструментальних досліджень, медичних маніпуляцій.</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Постреквізити.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процесі вивчення дисципліни набуваються знання, необхідні для успішного засвоєння дисциплін професійної підготовки, а саме: хірургія,акушерство і гінекологія,інфекційні хвороби, фтізіатрія, терапія, дитяча хірургія, неврологія,педіатрія, нейрохірургія,дерматовенерологія, судинна хірургія.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3.Результати навчання.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Інтегративні кінцеві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програмні результати навчання,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формуванню яких сприяє навчальна дисципліна (згідно ОПП 7.12010004 «Медична психологія»)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Вміти проводити аналіз інформації, приймати обґрунтовані рішення, вміти здобувати сучасні знання. Встановлювати відповідні зв’язки для досягнення цілей. Нести відповідальність за своєчасне набуття сучасних знань.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Мати спеціалізовані концептуальні знання, набуті у процесі навчання. Вміти розв’язувати складні задачі і проблеми, які виникають у професійній діяльності. Здатність ефективно формувати комунікаційну стратегію у професійній діяльності; зрозуміле і недвозначне донесення власних висновків, знань та пояснень, що їх обґрунтовують, до фахівців та нефахівців. Відповідати за прийняття рішень у складних умовах</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види та способи адаптації, принципи дії в новій ситуації. Вміти застосувати засоби саморегуляції, вміти пристосовуватися до нових ситуацій (обставин) життя та діяльності. Встановлювати відповідні зв’язки для досягнення результату. Нести відповідальність своєчасне використання методів саморегуляції.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тактики та стратегії спілкування, закони та способи комунікативної поведінки. Вміти приймати обґрунтоване рішення, обирати способи та стратегії спілкування для забезпечення ефективної командної роботи. Вміти приймати обґрунтоване рішення, обирати способи та стратегії спілкування для забезпечення ефективної командної роботи. Організовувати роботу медичного персоналу в команді, підрозділі, закладі. Нести відповідальність за вибір та тактику способу комунікації.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Мати достатні знання державної мови та базові знання іноземної мови. Вміти застосовувати знання державної мові, як усно так і письмово, вміти спілкуватись іноземною мовою. Використовувати при фаховому та діловому спілкуванні та при підготовці документів державну мову. Використовувати іноземну мову у професійній діяльності. Нести відповідальність за вільне володіння державною мовою, за розвиток професійних знань.</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основи інформаційних і комунікаційних технологій та вміти застосовувати їх у професійній діяльності.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свої професійні обов'язки, вміти визначити мету та завдання при їх виконанні, нести відповідальність за якісне виконання поставлених завдань.</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свої соціальні та громадські права та обов’язки. Формувати достатній рівень правової культури необхідний для збереження балансу взаємин між суб’єктами медичних правовідносин і дотримання прав людини в сфері охорони здоров’я. Відповідати за свою громадянську позицію та діяльність.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Збирати дані про скарги пацієнта, анамнез хвороби, анамнез життя, проводити фізикальне обстеження пацієнта, використовуючи стандартні алгоритми дослідження на підставі знання про людину, її органи та системи, в умовах закладу охорони здоров’я або за його межами.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Оцінювати інформацію щодо діагнозу, застосовуючи стандартну процедуру на підставі результатів лабораторних та інструментальних досліджень (за списком 4 : 4, 5, 8, 11, 13, 14, 17, 18, 20-22, 26, 31, 32, 36, 39, 40, 42, 48).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Виділяти провідний клінічний симптом або синдром (за списком 1: 2-4, 6, 8, 9, 14, 17, 31, 34, 36, 41, 43, 45, 51) шляхом прийняття обґрунтованого рішення. Встановлювати найбільш вірогідний або синдромний діагноз захворювання (за списком 2:103-116). Призначати лабораторне та/або інструментальне обстеження хворого (за списком 4: 4, 5, 8, 11, 13, 14, 17, 18, 20-22, 26, 31, 32, 36, 39, 40, 42, 48) шляхом прийняття обґрунтованого рішення, за допомогою співставлення зі стандартами. Здійснювати диференціальну діагностику захворювань (за списком 2: 103-116) шляхом прийняття обґрунтованого рішення, за певним алгоритмом, використовуючи найбільш вірогідний або синдромний діагноз, дані лабораторного та інструментального обстеження хворого. Встановлювати попередній клінічний діагноз (за списком 2:103-116) шляхом прийняття обґрунтованого рішення та логічного аналізу.</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необхідний режим праці та відпочинку при лікуванні захворювання (за списком 2: 103-116) в умовах закладу охорони здоров’я, за його межами та на етапах медичної евакуації на підставі попереднього клінічного діагнозу.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необхідне лікувальне харчування при лікуванні (за списком 2:103-116) в умовах закладу охорони здоров’я, за його межами та на етапах медичної евакуації у т.ч., у польових умовах на підставі попереднього клінічного діагнозу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принципи та характер лікування (консервативне, оперативне) захворювання (за списком 2: 103-116) в умовах закладу охорони здоров’я, за його межами та на етапах медичної евакуації у т.ч. у польових умовах на підставі попереднього клінічного діагнозу,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Встановити діагноз невідкладного стану (за списком 3: 4,6,16,21,31) шляхом прийняття обґрунтованого рішення та оцінки стану людини, за будь-яких обставин (закладі охорони здоров’я та за його межами) у т.ч. в умовах надзвичайної ситуації, в польових умовах, в умовах нестачі інформації та обмеженого часу, використовуючи стандартні методики фізикального обстеження та можливого анамнезу, знання про людину, її органи та системи, дотримуючись відповідних етичних та юридичних норм.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тактику надання екстреної та невідкладної медичної допомоги на підставі діагнозу невідкладного стану (за списком 3: 4,6,16,21,31) в умовах обмеженого часу за допомогою стандартних схем.</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Надавати екстрену та невідкладну медичну допомогу шляхом прийняття обґрунтованого рішення на підставі діагнозу невідкладного стану (за списком 3: 4,6,16,21,31) в умовах обмеженого часу за допомогою стандартних схем.</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Виконувати медичні маніпуляції (за списком 5:1,2,5-7,9,10,12,14,18,21,22,27) на підставі попереднього клінічного діагнозу та/або показників стану пацієнта шляхом прийняття обґрунтованого рішення та використовуючи стандартні методики.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тактику обстеження та вторинної профілактики хворих, що підлягають диспансерному нагляду; тактику обстеження та первинної профілактики здорових осіб, що підлягають диспансерному нагляду; розраховувати та призначати необхідні продукти харчування дітям першого року життя.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наявність та ступінь обмежень життєдіяльності, виду, ступеню та тривалості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Вести медичну документацію щодо пацієнта та контингенту населення на підставі нормативних документів, використовуючи стандартну технологію. Готувати звіти про особисту виробничу діяльність, використовуючи офіційні облікові документи за типовою формою.</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 та логістика дисципліни </w:t>
      </w:r>
      <w:r w:rsidDel="00000000" w:rsidR="00000000" w:rsidRPr="00000000">
        <w:rPr>
          <w:rtl w:val="0"/>
        </w:rPr>
      </w:r>
    </w:p>
    <w:tbl>
      <w:tblPr>
        <w:tblStyle w:val="Table4"/>
        <w:tblW w:w="957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6"/>
        <w:gridCol w:w="1415"/>
        <w:gridCol w:w="4075"/>
        <w:tblGridChange w:id="0">
          <w:tblGrid>
            <w:gridCol w:w="4086"/>
            <w:gridCol w:w="1415"/>
            <w:gridCol w:w="4075"/>
          </w:tblGrid>
        </w:tblGridChange>
      </w:tblGrid>
      <w:tr>
        <w:trPr>
          <w:cantSplit w:val="0"/>
          <w:tblHeader w:val="0"/>
        </w:trPr>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 1.Урологія,сексологія та сексопатологія</w:t>
            </w:r>
            <w:r w:rsidDel="00000000" w:rsidR="00000000" w:rsidRPr="00000000">
              <w:rPr>
                <w:rtl w:val="0"/>
              </w:rPr>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семестр</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год/2 кредити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 1-5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заняття №№ 1-15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Теми для самостійного опрацювання №№ 1-14______</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Дисципліна включає 15 тем, які мають 1 диференційований залік</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3"/>
        <w:gridCol w:w="8"/>
        <w:gridCol w:w="8350"/>
        <w:tblGridChange w:id="0">
          <w:tblGrid>
            <w:gridCol w:w="1213"/>
            <w:gridCol w:w="8"/>
            <w:gridCol w:w="8350"/>
          </w:tblGrid>
        </w:tblGridChange>
      </w:tblGrid>
      <w:tr>
        <w:trPr>
          <w:cantSplit w:val="0"/>
          <w:tblHeader w:val="0"/>
        </w:trPr>
        <w:tc>
          <w:tcPr>
            <w:gridSpan w:val="3"/>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 1. Урологія,сексологія та сексопатологія</w:t>
            </w:r>
            <w:r w:rsidDel="00000000" w:rsidR="00000000" w:rsidRPr="00000000">
              <w:rPr>
                <w:rtl w:val="0"/>
              </w:rPr>
            </w:r>
          </w:p>
        </w:tc>
      </w:tr>
      <w:tr>
        <w:trPr>
          <w:cantSplit w:val="0"/>
          <w:trHeight w:val="58" w:hRule="atLeast"/>
          <w:tblHeader w:val="0"/>
        </w:trPr>
        <w:tc>
          <w:tcPr>
            <w:gridSpan w:val="3"/>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Пропедевтика урологічних захворювань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Неспецифічні запальні захворювання органів сечостататевої системи. Сечокам’яна хвороба.</w:t>
            </w: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gridSpan w:val="2"/>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Симптоматологія та семіотика урологічних захворювань. Лабораторна, рентгенологічна та інструментально-апаратна діагностика в урології.</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Клінічна анатомія та фізіологія сечостатевих органів.</w:t>
            </w:r>
          </w:p>
        </w:tc>
      </w:tr>
      <w:tr>
        <w:trPr>
          <w:cantSplit w:val="0"/>
          <w:trHeight w:val="58" w:hRule="atLeast"/>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Пієлонефрит: гострий, вагітних, бактеріємічний шок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8" w:hRule="atLeast"/>
          <w:tblHeader w:val="0"/>
        </w:trPr>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gridSpan w:val="2"/>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Хронічний пієлонефрит, піонефроз, паранефрит. Туберкульоз сечостатевої системи. Цистит, простатит, епідидимоорхит, уретрит, баланопостит.</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Нейрогенні розлади сечовипускання, цисталгія.</w:t>
            </w:r>
          </w:p>
        </w:tc>
      </w:tr>
      <w:tr>
        <w:trPr>
          <w:cantSplit w:val="0"/>
          <w:trHeight w:val="272" w:hRule="atLeast"/>
          <w:tblHeader w:val="0"/>
        </w:trPr>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Сечокам’яна хвороба (діагностика, ускладнення, диф. діагностика, лікування, профілактика, прогноз. Камені сечового міхура та сечівника).</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 w:hRule="atLeast"/>
          <w:tblHeader w:val="0"/>
        </w:trPr>
        <w:tc>
          <w:tcPr>
            <w:gridSpan w:val="3"/>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Пухлини та вади розвитку сечостатевої системи. Невікладні стани в урології.</w:t>
            </w: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gridSpan w:val="2"/>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Гіперплазія та рак передміхурової залози. Пухлини нирки, сечового міхура та сечівника.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Камені сечівника та передміхурової залози.</w:t>
            </w:r>
          </w:p>
        </w:tc>
      </w:tr>
      <w:tr>
        <w:trPr>
          <w:cantSplit w:val="0"/>
          <w:trHeight w:val="58" w:hRule="atLeast"/>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Вади розвитку нирок та сечоводів. Вади розвитку сечового міхура, сечівника та чоловічих статевих органів (крипторхізм, ектопія, аплазія яєчка, гідроцеле, фунікулоцеле, фімоз, парафімоз). Нефроптоз.</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gridSpan w:val="2"/>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Ушкодження сечостатевих органів.</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Нічне нетримання сечі.</w:t>
            </w:r>
          </w:p>
        </w:tc>
      </w:tr>
      <w:tr>
        <w:trPr>
          <w:cantSplit w:val="0"/>
          <w:trHeight w:val="58" w:hRule="atLeast"/>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gridSpan w:val="2"/>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Гостра та хронічна ниркова недостатність в урологічній практиці.</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Статеві розлади у чоловіків.</w:t>
            </w:r>
          </w:p>
        </w:tc>
      </w:tr>
      <w:tr>
        <w:trPr>
          <w:cantSplit w:val="0"/>
          <w:trHeight w:val="251" w:hRule="atLeast"/>
          <w:tblHeader w:val="0"/>
        </w:trPr>
        <w:tc>
          <w:tcPr>
            <w:gridSpan w:val="3"/>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3.Нормальна сексологія.</w:t>
            </w:r>
            <w:r w:rsidDel="00000000" w:rsidR="00000000" w:rsidRPr="00000000">
              <w:rPr>
                <w:rtl w:val="0"/>
              </w:rPr>
            </w:r>
          </w:p>
        </w:tc>
      </w:tr>
      <w:tr>
        <w:trPr>
          <w:cantSplit w:val="0"/>
          <w:trHeight w:val="442" w:hRule="atLeast"/>
          <w:tblHeader w:val="0"/>
        </w:trPr>
        <w:tc>
          <w:tcPr>
            <w:gridSpan w:val="2"/>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tc>
      </w:tr>
      <w:tr>
        <w:trPr>
          <w:cantSplit w:val="0"/>
          <w:trHeight w:val="1105" w:hRule="atLeast"/>
          <w:tblHeader w:val="0"/>
        </w:trPr>
        <w:tc>
          <w:tcPr>
            <w:gridSpan w:val="2"/>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Анатомо-психофізіологічні основи сексуальності.</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Анатомія статевих органів в сексуальному аспекті.</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Складові сімейно-сексуальної гармонії та дисгармонії.</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Складові сімейно-сексуальної гармонії та дисгармонії.</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Сексуально-еротична адаптація статей.</w:t>
            </w:r>
          </w:p>
          <w:p w:rsidR="00000000" w:rsidDel="00000000" w:rsidP="00000000" w:rsidRDefault="00000000" w:rsidRPr="00000000" w14:paraId="000000BB">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Судова сексологія. </w:t>
            </w:r>
            <w:r w:rsidDel="00000000" w:rsidR="00000000" w:rsidRPr="00000000">
              <w:rPr>
                <w:rtl w:val="0"/>
              </w:rPr>
            </w:r>
          </w:p>
        </w:tc>
      </w:tr>
      <w:tr>
        <w:trPr>
          <w:cantSplit w:val="0"/>
          <w:trHeight w:val="301" w:hRule="atLeast"/>
          <w:tblHeader w:val="0"/>
        </w:trPr>
        <w:tc>
          <w:tcPr>
            <w:gridSpan w:val="2"/>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сексуальних девіацій. Судова сексологія.</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сексуальних девіацій.</w:t>
            </w:r>
          </w:p>
        </w:tc>
      </w:tr>
      <w:tr>
        <w:trPr>
          <w:cantSplit w:val="0"/>
          <w:trHeight w:val="308" w:hRule="atLeast"/>
          <w:tblHeader w:val="0"/>
        </w:trPr>
        <w:tc>
          <w:tcPr>
            <w:gridSpan w:val="3"/>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Загальна та спеціальна сексопатологія. Планування сім’ї.</w:t>
            </w:r>
            <w:r w:rsidDel="00000000" w:rsidR="00000000" w:rsidRPr="00000000">
              <w:rPr>
                <w:rtl w:val="0"/>
              </w:rPr>
            </w:r>
          </w:p>
        </w:tc>
      </w:tr>
      <w:tr>
        <w:trPr>
          <w:cantSplit w:val="0"/>
          <w:trHeight w:val="1004" w:hRule="atLeast"/>
          <w:tblHeader w:val="0"/>
        </w:trPr>
        <w:tc>
          <w:tcPr>
            <w:gridSpan w:val="2"/>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13.</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сексопатологія. Основні прояви сексуальних розладів жінок та чоловіків.</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сексопатологія.</w:t>
            </w:r>
          </w:p>
        </w:tc>
      </w:tr>
      <w:tr>
        <w:trPr>
          <w:cantSplit w:val="0"/>
          <w:trHeight w:val="485" w:hRule="atLeast"/>
          <w:tblHeader w:val="0"/>
        </w:trPr>
        <w:tc>
          <w:tcPr>
            <w:gridSpan w:val="2"/>
            <w:tcBorders>
              <w:bottom w:color="00000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14.</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СРС.</w:t>
            </w:r>
          </w:p>
        </w:tc>
        <w:tc>
          <w:tcPr>
            <w:tcBorders>
              <w:bottom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сім'ї. Організація діяльності служби планування сім’ї в Україні. Профілактика ЗПСШ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сім'ї. Організація діяльності служби планування сім’ї в Україні. Профілактика ЗПСШ.</w:t>
            </w:r>
          </w:p>
        </w:tc>
      </w:tr>
      <w:tr>
        <w:trPr>
          <w:cantSplit w:val="0"/>
          <w:trHeight w:val="352" w:hRule="atLeast"/>
          <w:tblHeader w:val="0"/>
        </w:trPr>
        <w:tc>
          <w:tcPr>
            <w:gridSpan w:val="2"/>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15.</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Диференційований залік</w:t>
              <w:tab/>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Теми лекційного курсу розкривають проблемні питання відповідних розділів урології,сексології та сексопатології.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заняття передбачають теоретичне обґрунтування основних питань теми та засвоєння наступних практичних навичок: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вивчення загальних питання організації урологічної допомоги ;етіології, патогенезу, патологічної анатомії, симптоматики, діагностики, лікування і профілактики захворювань органів сечостатевої систем ;принципів організації і проведення диспансерного спостереження захворювань органів сечової і статевої систем.</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вирішення ситуаційних задач з діагностики, лікування і профілактики захворювань органів сечостатевої систем.</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Засвоєння основних діагностичних та лікувальних маніпуляцій з урології: діафаноскопії, бужування уретри, хромоцистоскопії , оглядової урографії, екскреторної урографії, ретроградної уретеропієлографії, цистографії, уретрографії,новокаїнової блокади сім’яного канатику, рентгентелевізійні дослідження урологічних хворих.</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Самостійна робота студента передбачає підготовку до практичних занять, вивчення тем для самостійної поза аудиторної роботи, підготовка презентацій,написання рефератів. Контроль засвоєння тем самостійної поза аудиторної роботи здійснюється на диференційованому заліку з дисципліни. Індивідуальна робота включає опрацювання наукової літератури, підготовку оглядів з наданих тем для презентації на засіданнях студентського наукового гуртка, виконання науково-практичних досліджень, участь у профільних олімпіадах, науково-практичних конференціях, конкурсах студентських наукових робіт.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Тематичні плани лекцій, календарні плани практичних занять, тематичний план самостійної поза аудиторної роботи, обсяг та напрямки індивідуальної роботи опубліковані на сайті кафедри.</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Маршрут отримання матеріалів: Курс урології/Студенту/Очна форма навчання/ Медицина/ 4 курс/Навчально-методичні матеріали/ або за посиланням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курс урології#. Доступ до матеріалів здійснюється з корпоративного акаунту студента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s000XXX@vnmu.edu.ua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 та методи контролю успішності навчання</w:t>
      </w:r>
      <w:r w:rsidDel="00000000" w:rsidR="00000000" w:rsidRPr="00000000">
        <w:rPr>
          <w:rtl w:val="0"/>
        </w:rPr>
      </w:r>
    </w:p>
    <w:tbl>
      <w:tblPr>
        <w:tblStyle w:val="Table6"/>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1"/>
        <w:gridCol w:w="5640"/>
        <w:tblGridChange w:id="0">
          <w:tblGrid>
            <w:gridCol w:w="3931"/>
            <w:gridCol w:w="5640"/>
          </w:tblGrid>
        </w:tblGridChange>
      </w:tblGrid>
      <w:tr>
        <w:trPr>
          <w:cantSplit w:val="0"/>
          <w:tblHeader w:val="0"/>
        </w:trPr>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 на практичних заняттях</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усне або письмове опитування,  тестування, електронне опитування, розв’язання ситуаційний задач</w:t>
            </w:r>
          </w:p>
        </w:tc>
      </w:tr>
      <w:tr>
        <w:trPr>
          <w:cantSplit w:val="0"/>
          <w:tblHeader w:val="0"/>
        </w:trPr>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засвоєння тематичного розділу дисципліни на проміжних контрольних заняттях</w:t>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усне або письмове опитування, електронне тестування, розв’язання ситуаційних задач.</w:t>
            </w:r>
          </w:p>
        </w:tc>
      </w:tr>
      <w:tr>
        <w:trPr>
          <w:cantSplit w:val="0"/>
          <w:tblHeader w:val="0"/>
        </w:trPr>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Диференційований залік</w:t>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усне опитування, тестування, вирішення ситуаційних задач, трактування результатів дігностичних процедур. (згідно положення про організацію освітнього процесу у ВНМУ ім.М.І.Пирогова</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(посилання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w:t>
            </w:r>
          </w:p>
        </w:tc>
      </w:tr>
      <w:tr>
        <w:trPr>
          <w:cantSplit w:val="0"/>
          <w:tblHeader w:val="0"/>
        </w:trPr>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діагностики успішності навчання</w:t>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Теоретичні питання, тести, клінічно-орієнтовані ситуаційні завдання, практичні завдання, демонстрація практичних навичок</w:t>
            </w:r>
          </w:p>
        </w:tc>
      </w:tr>
    </w:tbl>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знань здійснюється згідно Положення про організацію освітнього процесу у ВНМУ ім.М.І.Пирогова (посилання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w:t>
      </w:r>
    </w:p>
    <w:tbl>
      <w:tblPr>
        <w:tblStyle w:val="Table7"/>
        <w:tblW w:w="10002.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7"/>
        <w:gridCol w:w="6195"/>
        <w:tblGridChange w:id="0">
          <w:tblGrid>
            <w:gridCol w:w="3807"/>
            <w:gridCol w:w="6195"/>
          </w:tblGrid>
        </w:tblGridChange>
      </w:tblGrid>
      <w:tr>
        <w:trPr>
          <w:cantSplit w:val="0"/>
          <w:tblHeader w:val="0"/>
        </w:trPr>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w:t>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чотирьох бальною системою традиційних оцінок: 5 «відмінно», 4 «добре»,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«задовільно», 2 «незадовільно»</w:t>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практичних навичок</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чотирьох бальною системою традиційних оцінок</w:t>
            </w:r>
          </w:p>
        </w:tc>
      </w:tr>
      <w:tr>
        <w:trPr>
          <w:cantSplit w:val="0"/>
          <w:tblHeader w:val="0"/>
        </w:trPr>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200-бальною шкалою (середня арифметична оцінка за семестр конвертується в бали)</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Зараховано: від 120 до 200 балів</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зараховано: менше 120 балів (див.Шкалу оцінювання)</w:t>
            </w:r>
          </w:p>
        </w:tc>
      </w:tr>
      <w:tr>
        <w:trPr>
          <w:cantSplit w:val="0"/>
          <w:tblHeader w:val="0"/>
        </w:trPr>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Диференційований залік</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Сума балів за тестування (12-20 балів) та усне опитування (38-60 балів) (для дисциплін, які входять до Крок 2)</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за іспит:</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71-80 балів – «відмінно»</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61-70 балів – «добре»</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50-60 балів – «задовільно»</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Менше 50 балів – «не задовільно»/не склав</w:t>
            </w:r>
          </w:p>
        </w:tc>
      </w:tr>
      <w:tr>
        <w:trPr>
          <w:cantSplit w:val="0"/>
          <w:tblHeader w:val="0"/>
        </w:trPr>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дисциліни:</w:t>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Поточна успішність – від 72 до 120 балів (конвертація середньої традиційної оцінки за практичні заняття за 120-бальною шкалою): 60% оцінки за дисципліну</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Дифернційований залік – від 50 до 80 балів: 40% оцінки за дисципліну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Індивідуальна робота – від 1 до 12 балів</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Сумарно від 122 до 200 балів.</w:t>
            </w:r>
          </w:p>
        </w:tc>
      </w:tr>
    </w:tb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дисципліни: національна та ECTS</w:t>
      </w:r>
      <w:r w:rsidDel="00000000" w:rsidR="00000000" w:rsidRPr="00000000">
        <w:rPr>
          <w:rtl w:val="0"/>
        </w:rPr>
      </w:r>
    </w:p>
    <w:tbl>
      <w:tblPr>
        <w:tblStyle w:val="Table8"/>
        <w:tblW w:w="10037.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8"/>
        <w:gridCol w:w="1523"/>
        <w:gridCol w:w="3429"/>
        <w:gridCol w:w="2737"/>
        <w:tblGridChange w:id="0">
          <w:tblGrid>
            <w:gridCol w:w="2348"/>
            <w:gridCol w:w="1523"/>
            <w:gridCol w:w="3429"/>
            <w:gridCol w:w="2737"/>
          </w:tblGrid>
        </w:tblGridChange>
      </w:tblGrid>
      <w:tr>
        <w:trPr>
          <w:cantSplit w:val="1"/>
          <w:trHeight w:val="450" w:hRule="atLeast"/>
          <w:tblHeader w:val="0"/>
        </w:trPr>
        <w:tc>
          <w:tcPr>
            <w:vMerge w:val="restart"/>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 балів за всі види навчальної діяльності</w:t>
            </w:r>
          </w:p>
        </w:tc>
        <w:tc>
          <w:tcPr>
            <w:vMerge w:val="restart"/>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ОцінкаECTS</w:t>
            </w:r>
          </w:p>
        </w:tc>
        <w:tc>
          <w:tcPr>
            <w:gridSpan w:val="2"/>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за національною шкалою</w:t>
            </w:r>
          </w:p>
        </w:tc>
      </w:tr>
      <w:tr>
        <w:trPr>
          <w:cantSplit w:val="1"/>
          <w:trHeight w:val="450" w:hRule="atLeast"/>
          <w:tblHeader w:val="0"/>
        </w:trPr>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екзамену, курсового проекту (роботи), практики</w:t>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заліку</w:t>
            </w:r>
          </w:p>
        </w:tc>
      </w:tr>
      <w:tr>
        <w:trPr>
          <w:cantSplit w:val="1"/>
          <w:tblHeader w:val="0"/>
        </w:trPr>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180-200</w:t>
            </w:r>
          </w:p>
        </w:tc>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w:t>
            </w: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  </w:t>
            </w:r>
          </w:p>
        </w:tc>
        <w:tc>
          <w:tcPr>
            <w:vMerge w:val="restart"/>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зараховано</w:t>
            </w:r>
          </w:p>
        </w:tc>
      </w:tr>
      <w:tr>
        <w:trPr>
          <w:cantSplit w:val="1"/>
          <w:trHeight w:val="194" w:hRule="atLeast"/>
          <w:tblHeader w:val="0"/>
        </w:trPr>
        <w:tc>
          <w:tcP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170-179,9</w:t>
            </w:r>
          </w:p>
        </w:tc>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w:t>
            </w:r>
            <w:r w:rsidDel="00000000" w:rsidR="00000000" w:rsidRPr="00000000">
              <w:rPr>
                <w:rtl w:val="0"/>
              </w:rPr>
            </w:r>
          </w:p>
        </w:tc>
        <w:tc>
          <w:tcPr>
            <w:vMerge w:val="restart"/>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добре </w:t>
            </w:r>
          </w:p>
        </w:tc>
        <w:tc>
          <w:tcPr>
            <w:vMerge w:val="continue"/>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160-169,9</w:t>
            </w:r>
          </w:p>
        </w:tc>
        <w:tc>
          <w:tcP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w:t>
            </w: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141-159,9</w:t>
            </w:r>
          </w:p>
        </w:tc>
        <w:tc>
          <w:tcP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c>
          <w:tcPr>
            <w:vMerge w:val="continue"/>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122-140,99</w:t>
            </w:r>
          </w:p>
        </w:tc>
        <w:tc>
          <w:tcP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 </w:t>
            </w:r>
            <w:r w:rsidDel="00000000" w:rsidR="00000000" w:rsidRPr="00000000">
              <w:rPr>
                <w:rtl w:val="0"/>
              </w:rPr>
            </w:r>
          </w:p>
        </w:tc>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120-140,99</w:t>
            </w:r>
          </w:p>
        </w:tc>
        <w:tc>
          <w:tcP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w:t>
            </w: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зараховано</w:t>
            </w:r>
          </w:p>
        </w:tc>
      </w:tr>
      <w:tr>
        <w:trPr>
          <w:cantSplit w:val="0"/>
          <w:tblHeader w:val="0"/>
        </w:trPr>
        <w:tc>
          <w:tcP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119-61</w:t>
            </w:r>
          </w:p>
        </w:tc>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FX</w:t>
            </w:r>
            <w:r w:rsidDel="00000000" w:rsidR="00000000" w:rsidRPr="00000000">
              <w:rPr>
                <w:rtl w:val="0"/>
              </w:rPr>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з можливістю повторного складання</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зараховано з можливістю повторного складання</w:t>
            </w:r>
          </w:p>
        </w:tc>
      </w:tr>
      <w:tr>
        <w:trPr>
          <w:cantSplit w:val="0"/>
          <w:trHeight w:val="708" w:hRule="atLeast"/>
          <w:tblHeader w:val="0"/>
        </w:trPr>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w:t>
            </w:r>
          </w:p>
        </w:tc>
        <w:tc>
          <w:tcP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з обов’язковим повторним вивченням дисципліни</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зараховано з обов’язковим повторним вивченням дисципліни</w:t>
            </w:r>
          </w:p>
        </w:tc>
      </w:tr>
    </w:tb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засвоєння теоретичних знань та виконання практичних навичок під час поточного та підсумкового контролю</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Оцінювання усної/письмової відповіді під час поточного контролю</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глибоко і всебічно засвоїв теоретичний матеріал, грамотно і логічно його викладає. Він може вільно оперувати латинською термінологією, чітко відповідає на нестандартні питання за темою заняття, уміє пов’язати матеріал даної теми з вивченими раніше розділами, що свідчить про опанування рекомендованої літератури та здатність аналізувати вивчений матеріал, а також чітко демонструє значення засвоєних теоретичних знань для практичної медицини</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«добре»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знає і добре володіє теоретичним матеріалом, грамотно його викладає, не допускає неточностей при відповіді, уміє розкрити тему з позицій її медичного значення та практичного застосування, але при цьому відповіді не виходять за межі підручника, методичних рекомендацій.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знає базові поняття та визначення з вивченої теми, але допускає значні неточності або має труднощі при формулюванні відповіді, не розуміє медичних аспектів теми, не може пов’язати теоретичний матеріал із практикою.</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«незадовільно»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не знає теоретичних основ теми, допускає грубі помилки при відповіді, не розуміє базових понять та визначень, не може пояснити значення теоретичного матеріалу для практичної медицини.</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виконання практичних навичок під час поточного контролю</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Оцінка «відмінно»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знає хід та послідовність самостійної навчально-дослідницької роботи для виконання практичного завдання, вишукує оптимальні варіанти , демонструє правильне виконання необхідних практичних навичок, та вірно з чіткими формулюваннями узагальнень та висновків.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«добре»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виставляється студенту, який допускає неточності при виконанні практичних навичок, але здатний самостійно виявити допущені помилки та може продемонструвати виконання практичної навички в цілому, акуратно оформлює результати досліджень практичного заняття.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знає основи практичного завдання, але зазнає труднощів при виконанні, не може продемонструвати повну правильну послідовність практичних навичок, не може трактувати в повному обсязі результати проведених досліджень.</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«незадовільно»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не може продемонструвати виконання практичної навички, зазнає значних труднощів та порушує порядок виконання практичної роботи.</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ситуаційних задач (кейсів), в т.ч. біля ліжка хворого</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«відмінно» виставляється студенту, який правильно і без необґрунтованої затримки вирішує задачу, дає правильні відповіді на всі наявні в ній питання, дотримується етичних та деонтологічних норм при спілкуванні з пацієнтом.</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«добре» виставляється студенту, який загалом правильно вирішує задачу, проте допускає неточності, затримки; здатний самостійно виправити допущені помилки; дотримується  етичних та деонтологічних норм при спілкуванні з пацієнтом.</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«задовільно» виставляється студенту, який вирішує задачу з тривалою затримкою, з помилками, або виконує лише один вид завдання (діагностику чи лікування), не може обґрунтувати відповідь.</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«незадовільно» виставляється студенту, який не може вирішити завдання, не розумієїї суті, допускає грубі порушення деонтологічних норм у спілкуванні з пацієнтом.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виконання тестових завдань під час поточного контролю</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при проведенні тестового контролю допускається не більше 10% неправильних відповідей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під час тестового контролю допускає не більше 20% помилок. (обсяг правильних відповідей 80-89%).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робить помилки не більш, ніж в 40% тестових завдань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тесту.</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самостійної роботи студента</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студента оцінюється під час поточного контролю дисципліни та  проведення підсумкового контролю у диференційованого заліка.</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підготовлених повідомлень здійснюється за традиційною оцінкою.</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володіє клінічним мисленням та глибоко і всебічно розкриває проблему, логічно викладає основні питання, наводить приклади із сучасних медичних інформаційних джерел. Він уміє пов’язати матеріал даної теми з вивченими раніше розділами, що свідчить здатність аналізувати вивчений матеріал.</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знає і добре володіє теоретичним матеріалом, грамотно розкриває основні питання теми та її медичне значення, але при цьому не виходить за межі підручника, методичних рекомендацій.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розкриває базові поняття та визначення з рекомендованої теми, але не розкриває її повністю, не розуміє медичних аспектів теми, не може пов’язати теоретичний матеріал із практикою.</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індивідуальної роботи студента</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Здійснюється на підставі виконання індивідуальних завдань, науково-практичної роботи, доповіді про результати дослідження на засіданні студентського наукового гуртка та студентських наукових конференціях, написанні наукових статей та тез за результатами наукового практичного дослідження або огляду наукових джерел з певної наукової або практичної проблеми, участі у Всеукраїнському конкурсі студентських наукових робіт, участі у вузівському та Всеукраїнському етапах олімпіади з урології (критерії нарахування балів наведені в п.14).</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усної відповіді під час диференційованогоного заліка.</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грамотно та в логічній послідовності надає відповіді на питання. Під час відповіді демонструє здатність аналізувати теоретичний матеріал, робить грунтовні висновки щодо значення теоретичного матеріалу для практичної медицини, надає чіткі правильні відповіді на додаткові нестандартні питання,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добре володіє теоретичним матеріалом та в логічній послідовності надає відповіді на питання екзаменаційного білету, але допускає незначні неточності, які швидко виправляє при відповіді на уточнюючі запитання екзаменатора. Під час відповіді на питання з урології,сексології та сексопатології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виставляється студенту, який при відповіді на питання  екзаменаційного білету демонструє знання базових понять та визначень, допускає значні неточності або має труднощі при відповіді на питання з урології, сексології та сексопатології, не може розкрити в достатньому обсязі етіологію, патогенез, клініку, діагностику, лікування, та профілактику захворювань сечостатевої системи, допускає неточності при відповіді на конкретизуючи питання екзаменатора.</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виставляється студенту, який не знає відповіді на одне з питань екзаменаційного білету, допускає грубі помилки при відповіді на питання з урології,сексології та сексопатології, не може пояснити базові поняття та визначення, не знає етіологію, патогенез, клініку, діагностику, лікування, та профілактику захворювань сечостатевої системи, не знає відповіді на додаткові уточнюючі запитання екзаменатора.</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Нарахування індивідуальних балів здійснюють на підставі Положення про організацію навчального процесу у Вінницькому національному медичному університеті ім.М.І.Пирогова (Вінниця, 2020). (посилання https://www.vnmu.edu.ua/Загальна інформація/Основні документи)</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балів – додаються до оцінки з дисципліни студенту, який отримав призове місце на міжвузівських олімпіадах з дисципліни або призове місце на Всеукраїнському конкурсі студентських наукових робіт або призове місце на міжвузівській/міжнародній науковій конференції з наявністю друкованої роботи</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балів – додаються до оцінки з дисципліни студенту, який отримав І місце на внутрішньовузівській олімпіаді з дисципліни або І місце на студентській науковій конференції з наявністю друкованої роботи, або приймав участь у Всеукраїнському конкурсі студентських наукових робіт</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балів – додаються до оцінки з дисципліни студенту, який отримав призове місце (ІІ-ІІІ) на внутрішньовузівській олімпіаді з дисципліни або на студентській науковій конференції з наявністю друкованої роботи; або за участь (без призового місця) міжвузівських олімпіадах з дисципліни або призове місце на міжвузівській/міжнародній науковій конференції з наявністю друкованої роботи.</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балів – додаються до оцінки з дисципліни студенту, який приймав участь (без призового місця) у внутрішньовузівській олімпіаді з дисципліни або студентській науковій конференції з наявністю друкованої роботи</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балів – додаються до оцінки з дисципліни студенту, який активно приймав участь у роботі студентського наукового гуртка, опублікував друковану роботу за результатами науково-практичного дослідження, але не приймав особисто участь у студентській науковій конференції, підготував стендову доповідь.</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балів - додаються до оцінки з дисципліни студенту, який виготовив не менше 3 таблиць, або навчальний відеофільм для поповнення наочного забезпечення викладання дисципліни (з урахуванням обсягу та важливості виконаної роботи).</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балів додаються до оцінки з дисципліни студенту, який виготовив не менше 2 муляжів, або створив тематичну ілюстровану презентацію для поповнення наочного забезпечення викладання дисципліни (з урахуванням обсягу та важливості виконаної роботи).</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1.Політика навчальної дисципліни/курсу</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 має право на отримання якісних освітніх послуг, доступ до сучасної наукової та навчальної інформації, кваліфіковану консультативну допомогу під час вивчення дисципліни та опанування практичними навичками. Політика кафедри під час надання освітніх послуг є студентоцентрованою, базується на нормативних документах Міністерства освіти та Міністерства охорони здоров’я України, статуті університету та порядку надання освітніх послуг, регламентованого основними положеннями організації навчального процесу в ВНМУ ім.М.І.Пирогова та засадах академічної доброчесності.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Дотримання правил розпорядку ВНМУ, техніки безпеки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практичних заняттях. Інструктаж з техніки безпеки використання інструментів та проведення маніпуляцій. Студент, який не пройшов інструктаж, не допускається до виконання практичних робіт.</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Вимоги щодо підготовки до практичних занять.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 повинен бути підготовленим до практичного заняття. На заняття слід приходити вчасно, без запізнення. Студент, який запізнився більше, ніж на 10 хвилин на заняття, не допускається до останнього і повинен його відпрацювати в установленому порядку.На практичних заняттях студент має бути одягнений в робочу форму (медичний халат, шапочка,маска,зміне взуття). Студенти, які не мають робочої форми, не допускаються до заняття.Студент повинен дотримуватись правил безпеки на практичних заняттях та під час знаходження у приміщеннях кафедри.Під час обговорення теоретичних питань студенти мають демонструвати толерантність, ввічливість та повагу до своїх колег та викладача.</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Використання мобільних телефонів та інших електронних девайсів.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мобільних телефонів та інших електронних пристроїв на занятті допускається тільки під час електронного тестування або опитування.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Академічна доброчесність.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час вивчення дисципліни студент має керуватись Кодексом академічної доброчесності ВНМУ ім.М.І.Пирогова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загальна інформація/ Основні документи/ Кодекс академічної доброчесності).  При порушенні норм академічної доброчесності під час поточного та підсумкових контролів студент отримує оцінку «2» та повинен її відпрацювати своєму викладачу в установленому порядку протягом двох тижнів після отриманої незадовільної оцінки.</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Пропуски занять.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Пропущені заняття відпрацьовуються в порядку, установленому в Положенні про організацію освітнього процесу у ВНМУ ім.М.І.Пирогова (посилання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 у час, визначений графіком відпрацювань ( опублікований на сайті курсу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курсу урології#) черговому викладачу. Для відпрацювання пропущеного заняття студент має пройти тестування та письмово чи усно відповісти на питання до теми заняття. Відпрацювання пропущених лекцій здійснюється після надання конспекту лекційного матеріалу, або написання реферату, чи підготовки власної презентації з теми пропущеної лекції.</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Порядок допуску до 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 дисципліни наведений в Положенні про організацію освітнього процесу у ВНМУ ім.М.І.Пирогова (посилання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 До підсумкового контролю допускаються студенти, які не мають пропущених невідпрацьованих практичних занять та лекцій та отримали середню традиційну оцінку не менше «3».</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Додаткові індивідуальні бали.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бали з дисципліни  студент може отримати за індивідуальну роботу, обсяг якої оприлюднений на сайті кафедри в навчально-методичних матеріалах дисципліни, кількість балів визначається за результатами ІРС згідно Положенню про організацію освітнього процесу у ВНМУ ім.М.І.Пирогова (посилання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Вирішення конфліктних питань.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виникненні непорозумінь та претензій до викладача через якість надання освітніх послуг, оцінювання знань та інших конфліктних ситуацій, студент повинен подати спершу повідомити про свої претензії викладача. Якщо конфліктне питання не вирішено, то студент має право подати звернення до завідувача кафедри згідно Положення про розгляд звернень здобувачів вищої освіти у ВНМУ ім.М.І.Пирогова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в умовах дистанційного навчання.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Порядок дистанційного навчання регулюється Положенням про запровадження елементів дистанційного навчання у ВНМУ ім.М.І.Пирогова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Загальна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інформація/Основні документи). Основними навчальними платформами для проведення навчальних занять є MicrosoftTeam, GoogleMeets. Порядок проведення практичних занять та лекцій, відпрацювань та консультацій під час дистанційного навчання оприлюднюється на веб-сторінці курсу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урології/ Студенту або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урології/ Новини).</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Зворотній зв’язок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викладачемздійснюєтьсячерез месенджери (Viber, Telegram, WhatsApp) або електронну пошту (на вибір викладача) в робочий час.</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Навчальні ресурси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Навчально-методичне забезпечення дисципліни оприлюднено на сайті курсу. Маршрут отримання матеріалів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урології/ Студенту.</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Література</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 Основна література:</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Урологія: підручник для студ. вищих мед. навч. закладів / С.П. Пасечніков, С.О. Возіанов, В.М. Лісовий [та ін.]; за ред. С.П. Пасечнікова. – Вінниця: Нова Книга, 2016. – 432с.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Невідкладна урологія в практиці лікарів хірургічного профілю / В.І.Горовий, В.О. Шапринський, І.В. Барало.Вінниця: Твори, 2018. – 824 с.; іл.</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Клінічна анатомія сечостатевих органів/ В.І.Горовий, В.О. Шапринський, І.В. Барало.Вінниця: ТОВ «Нілан-ЛТД», 2016. – 640 с., іл.</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Практична урогінекологія: курс лекцій/ В.І.Горовий, В.О. Шапринський, І.В. Барало.Вінниця : Вінницька обласна друкарня. 2015. – 728 с. : іл.</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Клінічна андрологія. За редакцією М.І. Бойка — Київ: “Бібліотека здоров’я України”, 2013. 222 с.</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Lehmiller, J. J. The psychology of human sexuality.Oxford: “Wiley Blackwell”,2014.- 400 p.</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КриштальЄ.В., Ворнік Б.Р. Сексопатологія: підручник - Харькiв: ”Медицина”, 2014.-544</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 література:</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Урологія. Діючі протоколи надання медичної допомоги/МОЗ України. – 2011</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2.Урологія. Сексопатологія. Клінічні протоколи надання медичної допомоги/МОЗ України, Київський МНІАЦ мед.стат.. – 2012</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3.Урологія, дитяча урологія та сексопатологія/МОЗ України, Київський МНІАЦ мед.стат.. – 2011</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4.Нормативи надання медичної допомоги дорослому населенню в умовах амбулаторно-поліклінічних закладів/МОЗ </w:t>
      </w:r>
      <w:r w:rsidDel="00000000" w:rsidR="00000000" w:rsidRPr="00000000">
        <w:rPr>
          <w:rFonts w:ascii="Times New Roman" w:cs="Times New Roman" w:eastAsia="Times New Roman" w:hAnsi="Times New Roman"/>
          <w:sz w:val="24"/>
          <w:szCs w:val="24"/>
          <w:highlight w:val="white"/>
          <w:rtl w:val="0"/>
        </w:rPr>
        <w:t xml:space="preserve">с</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Київський МНІАЦ мед.стат. Ч. І. – 2012</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5.Шуляк О. В. Урологія/О. В. Шуляк, С. О. Возіанов, О. Б. Банира. – 2012</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br w:type="textWrapping"/>
        <w:t xml:space="preserve">6.Пасєчніков С. П. Урологія для сімейного лікаря/С. П. Пасєчніков, В. І. Зайцев. - 2013</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.Stenz A., Cowan NC, De Santis M, et al.; European Association of Urology. [Update of the Clinical Guidelines of the European Association of Urology of muscleinvasive and metastatic bladder carcinoma]. Actas Urol Esp 2010 Jan; 34(1): 51-62 [Article in Spanish]</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Campbell Walsh Wein Urology, 12th Edition, 2019</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Горпинченко І. І., Імшенецька Л. П., Бойко М. І. та ін.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Клінічнасексологія і андрологія / За ред. О. Ф. Возіанова, І. І. Горпинченко. — Київ: Здоров’я, 1996. — 536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TheESSMSyllabus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ofSexualMedicine. EuropeanSocietyfor SexualMedicinePorst H., Reisman Y.Amsterdam: “Medixpublishers”, 2012.-1223p.</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  Інформаційні ресурси</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1.Сайт Вінницького національного медичного університету ім.. М.І. Пирогова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vnmu. edu.ua).</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2.сайт кафедри хірургії №1 (surgerygroup.at.ua), курсу урології (vnmu.edu.ua/department/department/2701), бібліотеки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library.vnmu. edu.ua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3.uroweb.org – сайт європейської асоціації урологів.</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4.ukraine.uroweb.ru – український урологічний портал.</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http://medstandart.net/byspec/75</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6.Бібліотека Вінницького національного медичного університет ім. М.І. Пирогова:</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http://library.vnmu.edu.ua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7.Центр тестування https://www.testcentr.org.ua/uk/</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8.МОЗ України https://moz.gov.ua/</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9.Центр громадського здоров’я МОЗ України https://phc.org.ua/kontrol-zakhvoryuvan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10.Всесвітня організація охорони здоровя https://www.who.int/ru/home#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3.Розклад та розподіл груп по викладачам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опублікований на веб-сторінці кафедри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урології/ Студенту).</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10.Питання до проміжних та підсумкового контролів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опубліковані на веб-сторінці кафедри (</w:t>
      </w: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урології/ Студенту).</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Силабус з дисципліни «________урологія_________» обговорено та затверджено на засіданні кафедри хірургії №1 з курсом урології (протокол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_1_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Відповідальний за курс</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839470" cy="328930"/>
            <wp:effectExtent b="0" l="0" r="0" t="0"/>
            <wp:docPr id="1029" name="image3.jpg"/>
            <a:graphic>
              <a:graphicData uri="http://schemas.openxmlformats.org/drawingml/2006/picture">
                <pic:pic>
                  <pic:nvPicPr>
                    <pic:cNvPr id="0" name="image3.jpg"/>
                    <pic:cNvPicPr preferRelativeResize="0"/>
                  </pic:nvPicPr>
                  <pic:blipFill>
                    <a:blip r:embed="rId27"/>
                    <a:srcRect b="0" l="0" r="0" t="0"/>
                    <a:stretch>
                      <a:fillRect/>
                    </a:stretch>
                  </pic:blipFill>
                  <pic:spPr>
                    <a:xfrm>
                      <a:off x="0" y="0"/>
                      <a:ext cx="839470" cy="32893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Барало Ігор Віталійович</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 кафедри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181100" cy="510540"/>
            <wp:effectExtent b="0" l="0" r="0" t="0"/>
            <wp:docPr id="1030" name="image4.jpg"/>
            <a:graphic>
              <a:graphicData uri="http://schemas.openxmlformats.org/drawingml/2006/picture">
                <pic:pic>
                  <pic:nvPicPr>
                    <pic:cNvPr id="0" name="image4.jpg"/>
                    <pic:cNvPicPr preferRelativeResize="0"/>
                  </pic:nvPicPr>
                  <pic:blipFill>
                    <a:blip r:embed="rId28"/>
                    <a:srcRect b="0" l="0" r="0" t="0"/>
                    <a:stretch>
                      <a:fillRect/>
                    </a:stretch>
                  </pic:blipFill>
                  <pic:spPr>
                    <a:xfrm>
                      <a:off x="0" y="0"/>
                      <a:ext cx="1181100" cy="51054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Шапринський Володимир Олександрович</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48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cs="Times New Roman" w:eastAsia="Times New Roman" w:hAnsi="Arial"/>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0"/>
    <w:pPr>
      <w:keepNext w:val="1"/>
      <w:suppressAutoHyphens w:val="1"/>
      <w:spacing w:after="60" w:before="240" w:line="240" w:lineRule="auto"/>
      <w:ind w:leftChars="-1" w:rightChars="0" w:firstLineChars="-1"/>
      <w:textDirection w:val="btLr"/>
      <w:textAlignment w:val="top"/>
      <w:outlineLvl w:val="2"/>
    </w:pPr>
    <w:rPr>
      <w:rFonts w:ascii="Arial" w:cs="Arial" w:eastAsia="Times New Roman" w:hAnsi="Arial"/>
      <w:b w:val="1"/>
      <w:b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2Знак">
    <w:name w:val="Заголовок 2 Знак"/>
    <w:basedOn w:val="Основнойшрифтабзаца"/>
    <w:next w:val="Заголовок2Знак"/>
    <w:autoRedefine w:val="0"/>
    <w:hidden w:val="0"/>
    <w:qFormat w:val="0"/>
    <w:rPr>
      <w:rFonts w:ascii="Arial" w:cs="Times New Roman" w:eastAsia="Times New Roman" w:hAnsi="Arial"/>
      <w:b w:val="1"/>
      <w:bCs w:val="1"/>
      <w:i w:val="1"/>
      <w:iCs w:val="1"/>
      <w:w w:val="100"/>
      <w:position w:val="-1"/>
      <w:sz w:val="28"/>
      <w:szCs w:val="28"/>
      <w:effect w:val="none"/>
      <w:vertAlign w:val="baseline"/>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1"/>
      <w:spacing w:after="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8"/>
      <w:szCs w:val="24"/>
      <w:effect w:val="none"/>
      <w:vertAlign w:val="baseline"/>
      <w:cs w:val="0"/>
      <w:em w:val="none"/>
      <w:lang w:bidi="ar-SA" w:eastAsia="ru-RU" w:val="ru-RU"/>
    </w:rPr>
  </w:style>
  <w:style w:type="character" w:styleId="ОсновнойтекстЗнак">
    <w:name w:val="Основной текст Знак"/>
    <w:basedOn w:val="Основнойшрифтабзаца"/>
    <w:next w:val="Основнойтекст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eastAsia="en-US" w:val="uk-UA"/>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Абзацсписка">
    <w:name w:val="Абзац списка"/>
    <w:basedOn w:val="Обычный"/>
    <w:next w:val="Абзацсписка"/>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cs="Times New Roman" w:eastAsia="Times New Roman" w:hAnsi="Times New Roman"/>
      <w:w w:val="100"/>
      <w:position w:val="-1"/>
      <w:sz w:val="28"/>
      <w:szCs w:val="24"/>
      <w:effect w:val="none"/>
      <w:vertAlign w:val="baseline"/>
      <w:cs w:val="0"/>
      <w:em w:val="none"/>
      <w:lang w:bidi="ar-SA" w:eastAsia="ru-RU" w:val="ru-RU"/>
    </w:rPr>
  </w:style>
  <w:style w:type="character" w:styleId="Заголовок3Знак">
    <w:name w:val="Заголовок 3 Знак"/>
    <w:basedOn w:val="Основнойшрифтабзаца"/>
    <w:next w:val="Заголовок3Знак"/>
    <w:autoRedefine w:val="0"/>
    <w:hidden w:val="0"/>
    <w:qFormat w:val="0"/>
    <w:rPr>
      <w:rFonts w:ascii="Arial" w:cs="Arial" w:eastAsia="Times New Roman" w:hAnsi="Arial"/>
      <w:b w:val="1"/>
      <w:bCs w:val="1"/>
      <w:w w:val="100"/>
      <w:position w:val="-1"/>
      <w:sz w:val="26"/>
      <w:szCs w:val="26"/>
      <w:effect w:val="none"/>
      <w:vertAlign w:val="baseline"/>
      <w:cs w:val="0"/>
      <w:em w:val="none"/>
      <w:lang/>
    </w:rPr>
  </w:style>
  <w:style w:type="character" w:styleId="Гиперссылка">
    <w:name w:val="Гиперссылка"/>
    <w:basedOn w:val="Основнойшрифтабзаца"/>
    <w:next w:val="Гиперссылка"/>
    <w:autoRedefine w:val="0"/>
    <w:hidden w:val="0"/>
    <w:qFormat w:val="1"/>
    <w:rPr>
      <w:color w:val="0000ff"/>
      <w:w w:val="100"/>
      <w:position w:val="-1"/>
      <w:u w:val="single"/>
      <w:effect w:val="none"/>
      <w:vertAlign w:val="baseline"/>
      <w:cs w:val="0"/>
      <w:em w:val="none"/>
      <w:lang/>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1"/>
      <w:spacing w:after="120" w:line="240" w:lineRule="auto"/>
      <w:ind w:left="283" w:leftChars="-1" w:rightChars="0" w:firstLineChars="-1"/>
      <w:textDirection w:val="btLr"/>
      <w:textAlignment w:val="top"/>
      <w:outlineLvl w:val="0"/>
    </w:pPr>
    <w:rPr>
      <w:rFonts w:ascii="Times New Roman" w:cs="Times New Roman" w:eastAsia="Times New Roman" w:hAnsi="Times New Roman"/>
      <w:w w:val="100"/>
      <w:position w:val="-1"/>
      <w:sz w:val="28"/>
      <w:szCs w:val="24"/>
      <w:effect w:val="none"/>
      <w:vertAlign w:val="baseline"/>
      <w:cs w:val="0"/>
      <w:em w:val="none"/>
      <w:lang w:bidi="ar-SA" w:eastAsia="ru-RU" w:val="ru-RU"/>
    </w:rPr>
  </w:style>
  <w:style w:type="character" w:styleId="ОсновнойтекстсотступомЗнак">
    <w:name w:val="Основной текст с отступом Знак"/>
    <w:basedOn w:val="Основнойшрифтабзаца"/>
    <w:next w:val="Основнойтекстсотступом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rPr>
  </w:style>
  <w:style w:type="character" w:styleId="apple-style-span">
    <w:name w:val="apple-style-span"/>
    <w:next w:val="apple-style-span"/>
    <w:autoRedefine w:val="0"/>
    <w:hidden w:val="0"/>
    <w:qFormat w:val="0"/>
    <w:rPr>
      <w:rFonts w:ascii="Times New Roman" w:cs="Times New Roman" w:eastAsia="Times New Roman" w:hAnsi="Times New Roman"/>
      <w:w w:val="100"/>
      <w:position w:val="-1"/>
      <w:effect w:val="none"/>
      <w:vertAlign w:val="baseline"/>
      <w:cs w:val="0"/>
      <w:em w:val="none"/>
      <w:lang/>
    </w:rPr>
  </w:style>
  <w:style w:type="paragraph" w:styleId="Список">
    <w:name w:val="Список"/>
    <w:basedOn w:val="Обычный"/>
    <w:next w:val="Список"/>
    <w:autoRedefine w:val="0"/>
    <w:hidden w:val="0"/>
    <w:qFormat w:val="0"/>
    <w:pPr>
      <w:widowControl w:val="0"/>
      <w:suppressAutoHyphens w:val="1"/>
      <w:autoSpaceDE w:val="0"/>
      <w:autoSpaceDN w:val="0"/>
      <w:spacing w:after="0" w:line="240" w:lineRule="auto"/>
      <w:ind w:left="283" w:leftChars="-1" w:rightChars="0" w:hanging="283"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ru-RU" w:val="ru-RU"/>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nmu.edu.ua/%20%D0%97%D0%B0%D0%B3%D0%B0%D0%BB%D1%8C%D0%BD%D0%B0" TargetMode="External"/><Relationship Id="rId22" Type="http://schemas.openxmlformats.org/officeDocument/2006/relationships/hyperlink" Target="https://www.vnmu.edu.ua/%20%D0%97%D0%B0%D0%B3%D0%B0%D0%BB%D1%8C%D0%BD%D0%B0" TargetMode="External"/><Relationship Id="rId21" Type="http://schemas.openxmlformats.org/officeDocument/2006/relationships/hyperlink" Target="https://www.vnmu.edu.ua/%20" TargetMode="External"/><Relationship Id="rId24" Type="http://schemas.openxmlformats.org/officeDocument/2006/relationships/hyperlink" Target="http://medstandart.net/byspec/75" TargetMode="External"/><Relationship Id="rId23" Type="http://schemas.openxmlformats.org/officeDocument/2006/relationships/hyperlink" Target="https://www.vnmu.edu.ua/%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rology@vnmu.edu.ua" TargetMode="External"/><Relationship Id="rId26" Type="http://schemas.openxmlformats.org/officeDocument/2006/relationships/hyperlink" Target="https://www.vnmu.edu.ua/%20" TargetMode="External"/><Relationship Id="rId25" Type="http://schemas.openxmlformats.org/officeDocument/2006/relationships/hyperlink" Target="https://www.vnmu.edu.ua/%20" TargetMode="External"/><Relationship Id="rId28" Type="http://schemas.openxmlformats.org/officeDocument/2006/relationships/image" Target="media/image4.jpg"/><Relationship Id="rId27"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 Id="rId11" Type="http://schemas.openxmlformats.org/officeDocument/2006/relationships/hyperlink" Target="mailto:s000XXX@vnmu.edu.ua" TargetMode="External"/><Relationship Id="rId10" Type="http://schemas.openxmlformats.org/officeDocument/2006/relationships/hyperlink" Target="https://www.vnmu.edu.ua/" TargetMode="External"/><Relationship Id="rId13" Type="http://schemas.openxmlformats.org/officeDocument/2006/relationships/hyperlink" Target="https://www.vnmu.edu.ua/%D0%97%D0%B0%D0%B3%D0%B0%D0%BB%D1%8C%D0%BD%D0%B0" TargetMode="External"/><Relationship Id="rId12" Type="http://schemas.openxmlformats.org/officeDocument/2006/relationships/hyperlink" Target="https://www.vnmu.edu.ua/%D0%97%D0%B0%D0%B3%D0%B0%D0%BB%D1%8C%D0%BD%D0%B0" TargetMode="External"/><Relationship Id="rId15" Type="http://schemas.openxmlformats.org/officeDocument/2006/relationships/hyperlink" Target="https://www.vnmu.edu.ua/%20%D0%97%D0%B0%D0%B3%D0%B0%D0%BB%D1%8C%D0%BD%D0%B0" TargetMode="External"/><Relationship Id="rId14" Type="http://schemas.openxmlformats.org/officeDocument/2006/relationships/hyperlink" Target="https://www.vnmu.edu.ua/" TargetMode="External"/><Relationship Id="rId17" Type="http://schemas.openxmlformats.org/officeDocument/2006/relationships/hyperlink" Target="https://www.vnmu.edu.ua/%20%D0%97%D0%B0%D0%B3%D0%B0%D0%BB%D1%8C%D0%BD%D0%B0" TargetMode="External"/><Relationship Id="rId16" Type="http://schemas.openxmlformats.org/officeDocument/2006/relationships/hyperlink" Target="https://www.vnmu.edu.ua/" TargetMode="External"/><Relationship Id="rId19" Type="http://schemas.openxmlformats.org/officeDocument/2006/relationships/hyperlink" Target="https://www.vnmu.edu.ua/%20%D0%97%D0%B0%D0%B3%D0%B0%D0%BB%D1%8C%D0%BD%D0%B0" TargetMode="External"/><Relationship Id="rId18" Type="http://schemas.openxmlformats.org/officeDocument/2006/relationships/hyperlink" Target="https://www.vnmu.edu.ua/%20%D0%97%D0%B0%D0%B3%D0%B0%D0%BB%D1%8C%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fkigpfDuMY6Hd5GSVDsfryK0g==">CgMxLjAyCGguZ2pkZ3hzOAByITFUNWpuUDhGdDhRdlZJQzlrT2cxX01PYWZaNllXVXU1SQ==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2021-11-17T10:17:00Z</dcterms:created>
  <dc:creator>Даша</dc:creator>
</cp:coreProperties>
</file>

<file path=docProps/custom.xml><?xml version="1.0" encoding="utf-8"?>
<Properties xmlns="http://schemas.openxmlformats.org/officeDocument/2006/custom-properties" xmlns:vt="http://schemas.openxmlformats.org/officeDocument/2006/docPropsVTypes"/>
</file>